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w w:val="95"/>
          <w:lang w:eastAsia="zh-CN"/>
        </w:rPr>
      </w:pPr>
      <w:bookmarkStart w:id="0" w:name="_Toc14274"/>
      <w:r>
        <w:rPr>
          <w:rFonts w:hint="eastAsia"/>
          <w:w w:val="95"/>
        </w:rPr>
        <w:t>海南省专升本</w:t>
      </w:r>
      <w:r>
        <w:rPr>
          <w:rFonts w:hint="eastAsia"/>
          <w:w w:val="95"/>
          <w:lang w:eastAsia="zh-CN"/>
        </w:rPr>
        <w:t>招生考试</w:t>
      </w:r>
      <w:bookmarkEnd w:id="0"/>
      <w:bookmarkStart w:id="1" w:name="_Toc22147"/>
      <w:bookmarkStart w:id="2" w:name="_Toc687"/>
      <w:r>
        <w:rPr>
          <w:rFonts w:hint="eastAsia"/>
          <w:w w:val="95"/>
          <w:lang w:eastAsia="zh-CN"/>
        </w:rPr>
        <w:t>《</w:t>
      </w:r>
      <w:bookmarkStart w:id="3" w:name="_GoBack"/>
      <w:r>
        <w:rPr>
          <w:rFonts w:hint="eastAsia"/>
          <w:w w:val="95"/>
          <w:lang w:val="en-US" w:eastAsia="zh-CN"/>
        </w:rPr>
        <w:t>学前教育学</w:t>
      </w:r>
      <w:bookmarkEnd w:id="3"/>
      <w:r>
        <w:rPr>
          <w:rFonts w:hint="eastAsia"/>
          <w:w w:val="95"/>
          <w:lang w:val="en-US" w:eastAsia="zh-CN"/>
        </w:rPr>
        <w:t>》</w:t>
      </w:r>
      <w:r>
        <w:rPr>
          <w:rFonts w:hint="eastAsia"/>
          <w:w w:val="95"/>
          <w:lang w:eastAsia="zh-CN"/>
        </w:rPr>
        <w:t>考试大纲</w:t>
      </w:r>
      <w:bookmarkEnd w:id="1"/>
      <w:bookmarkEnd w:id="2"/>
    </w:p>
    <w:p>
      <w:pPr>
        <w:jc w:val="center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left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学前教育学》考试要求学生掌握有关学前教育学的一般概念、基本理论，掌握学前教育的基本规律及主要理论观点和实施原则，并能运用学前教育学的基本理论，分析研究幼儿园教育现象和问题，尝试解决幼儿园教育中的新矛盾新问题。共考查学前教育学的对象、任务及发展；学前教育与社会的关系；学前教育和儿童身心发展的关系；学前儿童全面发展教育；0-3岁儿童的教育；幼儿园的游戏；幼儿园的课程与教学活动；幼儿园的日常生活和节日娱乐活动；幼儿园与小学的衔接；家庭、社区与学前教育；学前教师的专业发展及其培养；幼儿园管理、评价与研究等十二部分内容。</w:t>
      </w:r>
    </w:p>
    <w:p>
      <w:pPr>
        <w:pStyle w:val="5"/>
        <w:numPr>
          <w:ilvl w:val="0"/>
          <w:numId w:val="1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学前教育学的对象、任务及发展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识记：（1）学前教育学学科性质与特点；（2）学前教育学和对象和任务；（3）世界及中国幼儿教育产生和发展的历史脉络。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领会：（1）有关学前教育发展的重大事件；（2）相关教育家的学说。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学前教育与社会的关系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识记：（1）学前教育的的产生和发展；（2）历史上有代表性的学前教育机构。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领会：（1）当代我国学前教育的基本情况；（2）学前教育与社会经济、政治、文化等方面的关系。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学前教育和儿童身心发展的关系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识记：（1）影响儿童发展的多种因素；（2）几个教育发展理论；（3）各个发展因素在儿童发展过程中的作用。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领会：（1）正确的儿童观；（2）儿童身心发展规律及特征；（3）儿童身心发展规律对学前教育的影响。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学前儿童全面发展教育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识记：（1）学前儿童体育的内涵及重要性；（2）学前儿童智育的内涵及重要性；（3）学前儿童德育的内涵和意义；（4）学前儿童美育的内涵和意义。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领会：（1）教育目标；（2）我国学前教育的教育目标及其特点（3）学前儿童体育、智育、德育、美育的目标；（3）正确的智育观；（4）学前儿童美感发展的特点。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：（1）运用学前儿童体育活动的实施要领开展学前儿童体育活动；（2）运用学前儿童智育活动的实施要领开展学前儿童智育活动；（3）运用学前儿童德育活动的实施要领开展学前儿童德育活动；（4）运用学前儿童美育活动的实施要领开展学前儿童美育活动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0-3岁儿童的教育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识记：（1）0-3岁儿童教育的意义、任务和原则；（2）0-3岁儿童教育的方式。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领会：0-3岁儿童教育的内容。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幼儿园的游戏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识记：（1）不同游戏理论；（2）游戏在学前教育中的运用。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领会：（1）游戏的概念；（2）学前儿童游戏的意义、特点、作用、种类；（3）游戏环境创设。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运用：运用不同类型的幼儿园游戏指导方式开展幼儿园游戏活动。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幼儿园的课程与教学活动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识记：（1）国内外课程与教学的发展历程；（2）课程方案要素；（3）课程与教学的概念；（4）幼儿园教学活动的原则和方法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领会：（1）不同教育家的课程理论；（2）不同的课程模式（方案）；（3）幼儿园教学活动的过程、环境和组织形式。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幼儿园的日常生活和节日娱乐活动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识记：（1）幼儿园日常生活的内容、价值；（2）日常生活组织与实施的基本原则；（3）幼儿园节日和娱乐活动的基本理念。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运用：（1）运用所学组织实施各项日常生活活动；（2）运用所学组织和实施幼儿园节日和娱乐活动。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幼儿园与小学的衔接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识记：幼小衔接工作的意义、任务。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领会：（1）儿童从幼儿园入小学所面临的问题和挑战；（2）幼小衔接工作存在的主要问题；（3做好幼小衔接工作的策略和方法。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家庭、社区与学前教育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识记：家庭教育的概念、作用、特点、要求。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领会：（1）幼儿园家长工作的任务、原则与方法；（2）社区学前教育的特点、发展历程及参与学前教育的举措。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学前教师的专业发展及其培养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识记：（1）学前教师的职业特点和作用；（2）学前教师的专业素养结构。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领会：（1）学前教师专业发展的内涵；（2）学前教师专业发展的阶段；（3）我国学前教师培养的新理念、新变化；（4）学前教师专业发展的途径。</w:t>
      </w:r>
    </w:p>
    <w:p>
      <w:pPr>
        <w:pStyle w:val="5"/>
        <w:numPr>
          <w:ilvl w:val="0"/>
          <w:numId w:val="1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幼儿园管理、评价与研究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识记：（1）幼儿园管理的内涵、组织结构；（2）幼儿园评价的内涵、基本理念；（3）幼儿园评价的类型；（4）幼儿园教育研究的含义和原则。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领会：（1）幼儿园领导在管理中的作用；（2）当代幼儿园管理新理念；（3）幼儿园评价的组织实施；（4）幼儿园教育研究的基本过程和方法。</w:t>
      </w:r>
    </w:p>
    <w:p>
      <w:pPr>
        <w:pStyle w:val="4"/>
        <w:outlineLvl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考试形式与试卷结构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考试形式为闭卷笔试，试卷包括三种难度题，总体难度适中，以中等难度题为主。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（一）内容结构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学前教育学》内容各部分占比如下：学前教育学的对象、任务及发展约占10%；学前教育与社会的关系约占10%；学前教育和儿童身心发展的关系约占10%；学前儿童全面发展教育约占15%；0-3岁儿童的教育约占4%；幼儿园的游戏约占10%； 幼儿园的课程与教学活动约占10%；幼儿园的日常生活和节日娱乐活动约占7%；幼儿园与小学的衔接约占10%；家庭、社区与学前教育约占5%；学前教师的专业发展及其培养约占5%；幼儿园管理、评价与研究约占4%。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（二）参考题型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单项选择题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多项选择题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名词解释题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简答题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材料分析题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论述题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等题型。</w:t>
      </w:r>
    </w:p>
    <w:p>
      <w:pPr>
        <w:pStyle w:val="4"/>
        <w:outlineLvl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参考书目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虞永平、王春燕，《学前教育学（第二版）》，</w:t>
      </w:r>
      <w:r>
        <w:rPr>
          <w:rFonts w:hint="eastAsia"/>
          <w:lang w:val="en-US" w:eastAsia="zh-CN"/>
        </w:rPr>
        <w:t>高等教育出版社，</w:t>
      </w:r>
      <w:r>
        <w:rPr>
          <w:rFonts w:hint="eastAsia"/>
          <w:lang w:eastAsia="zh-CN"/>
        </w:rPr>
        <w:t>2022年6月。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黄人颂</w:t>
      </w:r>
      <w:r>
        <w:rPr>
          <w:rFonts w:hint="eastAsia"/>
          <w:lang w:eastAsia="zh-CN"/>
        </w:rPr>
        <w:t>《学前教育学（第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版）》，</w:t>
      </w:r>
      <w:r>
        <w:rPr>
          <w:rFonts w:hint="eastAsia"/>
          <w:lang w:val="en-US" w:eastAsia="zh-CN"/>
        </w:rPr>
        <w:t>人民教育出版社，2015年8月。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839C5"/>
    <w:multiLevelType w:val="singleLevel"/>
    <w:tmpl w:val="1B583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78B30F"/>
    <w:multiLevelType w:val="singleLevel"/>
    <w:tmpl w:val="7178B3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6737466"/>
    <w:rsid w:val="2FB730F5"/>
    <w:rsid w:val="32FFAF15"/>
    <w:rsid w:val="37E05597"/>
    <w:rsid w:val="3B63781F"/>
    <w:rsid w:val="47DC2BCB"/>
    <w:rsid w:val="49E59988"/>
    <w:rsid w:val="4C912C37"/>
    <w:rsid w:val="51FF5122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2024-01-04T18:03:02Z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