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bCs/>
          <w:color w:val="000000"/>
          <w:sz w:val="44"/>
          <w:szCs w:val="44"/>
        </w:rPr>
      </w:pPr>
      <w:r>
        <w:rPr>
          <w:rFonts w:hint="eastAsia" w:ascii="宋体" w:hAnsi="宋体" w:cs="宋体"/>
          <w:b/>
          <w:bCs/>
          <w:color w:val="000000"/>
          <w:sz w:val="44"/>
          <w:szCs w:val="44"/>
        </w:rPr>
        <w:t>用户需求书</w:t>
      </w:r>
    </w:p>
    <w:p>
      <w:pPr>
        <w:pStyle w:val="2"/>
        <w:spacing w:line="360" w:lineRule="auto"/>
        <w:rPr>
          <w:rFonts w:hint="eastAsia" w:ascii="宋体" w:hAnsi="宋体" w:eastAsia="宋体" w:cs="宋体"/>
          <w:color w:val="000000"/>
          <w:sz w:val="28"/>
          <w:szCs w:val="28"/>
        </w:rPr>
      </w:pPr>
      <w:bookmarkStart w:id="0" w:name="_Toc8740"/>
      <w:bookmarkStart w:id="1" w:name="_Toc6285"/>
      <w:bookmarkStart w:id="2" w:name="_Toc28713"/>
      <w:bookmarkStart w:id="3" w:name="_Toc29960"/>
      <w:bookmarkStart w:id="4" w:name="_Toc534208145"/>
      <w:bookmarkStart w:id="5" w:name="_Toc30420"/>
      <w:r>
        <w:rPr>
          <w:rFonts w:hint="eastAsia" w:ascii="宋体" w:hAnsi="宋体" w:eastAsia="宋体" w:cs="宋体"/>
          <w:color w:val="000000"/>
          <w:sz w:val="28"/>
          <w:szCs w:val="28"/>
        </w:rPr>
        <w:t>一、项目名称</w:t>
      </w:r>
      <w:bookmarkEnd w:id="0"/>
      <w:bookmarkEnd w:id="1"/>
      <w:bookmarkEnd w:id="2"/>
      <w:bookmarkEnd w:id="3"/>
      <w:bookmarkEnd w:id="4"/>
      <w:bookmarkEnd w:id="5"/>
    </w:p>
    <w:p>
      <w:pPr>
        <w:widowControl/>
        <w:spacing w:line="360" w:lineRule="auto"/>
        <w:ind w:firstLine="480" w:firstLineChars="200"/>
        <w:jc w:val="left"/>
        <w:rPr>
          <w:rFonts w:cs="宋体"/>
          <w:color w:val="000000"/>
        </w:rPr>
      </w:pPr>
      <w:r>
        <w:rPr>
          <w:rFonts w:hint="eastAsia" w:ascii="宋体" w:hAnsi="宋体" w:cs="宋体"/>
          <w:color w:val="000000"/>
          <w:kern w:val="0"/>
          <w:sz w:val="24"/>
          <w:lang w:bidi="ar"/>
        </w:rPr>
        <w:t>海南省考试局2022年商用密码应用安全性评估项目</w:t>
      </w:r>
      <w:r>
        <w:rPr>
          <w:rFonts w:ascii="宋体" w:hAnsi="宋体" w:cs="宋体"/>
          <w:color w:val="000000"/>
          <w:kern w:val="0"/>
          <w:sz w:val="24"/>
          <w:lang w:bidi="ar"/>
        </w:rPr>
        <w:t>。</w:t>
      </w:r>
    </w:p>
    <w:p>
      <w:pPr>
        <w:pStyle w:val="2"/>
        <w:spacing w:line="360" w:lineRule="auto"/>
        <w:rPr>
          <w:rFonts w:hint="eastAsia" w:ascii="宋体" w:hAnsi="宋体" w:eastAsia="宋体" w:cs="宋体"/>
          <w:color w:val="000000"/>
          <w:sz w:val="28"/>
          <w:szCs w:val="28"/>
        </w:rPr>
      </w:pPr>
      <w:bookmarkStart w:id="6" w:name="_Toc491437812"/>
      <w:bookmarkStart w:id="7" w:name="_Toc11532"/>
      <w:bookmarkStart w:id="8" w:name="_Toc22762"/>
      <w:bookmarkStart w:id="9" w:name="_Toc23504"/>
      <w:bookmarkStart w:id="10" w:name="_Toc14885"/>
      <w:bookmarkStart w:id="11" w:name="_Toc21396"/>
      <w:r>
        <w:rPr>
          <w:rFonts w:hint="eastAsia" w:ascii="宋体" w:hAnsi="宋体" w:eastAsia="宋体" w:cs="宋体"/>
          <w:color w:val="000000"/>
          <w:sz w:val="28"/>
          <w:szCs w:val="28"/>
        </w:rPr>
        <w:t>二、项目</w:t>
      </w:r>
      <w:bookmarkEnd w:id="6"/>
      <w:r>
        <w:rPr>
          <w:rFonts w:hint="eastAsia" w:ascii="宋体" w:hAnsi="宋体" w:eastAsia="宋体" w:cs="宋体"/>
          <w:color w:val="000000"/>
          <w:sz w:val="28"/>
          <w:szCs w:val="28"/>
        </w:rPr>
        <w:t>目标</w:t>
      </w:r>
      <w:bookmarkEnd w:id="7"/>
      <w:bookmarkEnd w:id="8"/>
      <w:bookmarkEnd w:id="9"/>
      <w:bookmarkEnd w:id="10"/>
      <w:bookmarkEnd w:id="11"/>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海南省考试局2022年商用密码应用安全性评估项目密码应用与安全性评估项目的总体目标是：依据</w:t>
      </w:r>
      <w:r>
        <w:rPr>
          <w:rFonts w:hint="eastAsia" w:ascii="宋体" w:hAnsi="宋体" w:cs="宋体"/>
          <w:color w:val="000000"/>
          <w:sz w:val="24"/>
        </w:rPr>
        <w:t>GB/T 39786-2021《信息安全技术信息系统密码应用基本要求》</w:t>
      </w:r>
      <w:r>
        <w:rPr>
          <w:rFonts w:hint="eastAsia" w:ascii="宋体" w:hAnsi="宋体" w:cs="宋体"/>
          <w:color w:val="000000"/>
          <w:kern w:val="0"/>
          <w:sz w:val="24"/>
          <w:lang w:bidi="ar"/>
        </w:rPr>
        <w:t>，对</w:t>
      </w:r>
      <w:r>
        <w:rPr>
          <w:rFonts w:hint="eastAsia" w:ascii="宋体" w:hAnsi="宋体" w:cs="宋体"/>
          <w:color w:val="000000"/>
          <w:sz w:val="24"/>
        </w:rPr>
        <w:t>海南省考试局2022年商用密码应用安全性评估</w:t>
      </w:r>
      <w:r>
        <w:rPr>
          <w:rFonts w:hint="eastAsia" w:ascii="宋体" w:hAnsi="宋体" w:cs="宋体"/>
          <w:snapToGrid w:val="0"/>
          <w:color w:val="000000"/>
          <w:sz w:val="24"/>
        </w:rPr>
        <w:t>项目</w:t>
      </w:r>
      <w:r>
        <w:rPr>
          <w:rFonts w:hint="eastAsia" w:ascii="宋体" w:hAnsi="宋体" w:cs="宋体"/>
          <w:color w:val="000000"/>
          <w:kern w:val="0"/>
          <w:sz w:val="24"/>
          <w:lang w:bidi="ar"/>
        </w:rPr>
        <w:t>信息系统开展密评工作，通过密评工作深入查找密码应用的薄弱环节和安全隐患，分析面临的风险，为提升信息系统安全水平奠定基础，推动国产密码应用工作的进一步落实，保障和促进</w:t>
      </w:r>
      <w:r>
        <w:rPr>
          <w:rFonts w:hint="eastAsia" w:ascii="宋体" w:hAnsi="宋体" w:cs="宋体"/>
          <w:snapToGrid w:val="0"/>
          <w:color w:val="000000"/>
          <w:sz w:val="24"/>
        </w:rPr>
        <w:t>海南省考试局</w:t>
      </w:r>
      <w:r>
        <w:rPr>
          <w:rFonts w:hint="eastAsia" w:ascii="宋体" w:hAnsi="宋体" w:cs="宋体"/>
          <w:color w:val="000000"/>
          <w:kern w:val="0"/>
          <w:sz w:val="24"/>
          <w:lang w:bidi="ar"/>
        </w:rPr>
        <w:t>信息化安全体系建设健康发展。同时，也指导</w:t>
      </w:r>
      <w:r>
        <w:rPr>
          <w:rFonts w:hint="eastAsia" w:ascii="宋体" w:hAnsi="宋体" w:cs="宋体"/>
          <w:snapToGrid w:val="0"/>
          <w:color w:val="000000"/>
          <w:sz w:val="24"/>
        </w:rPr>
        <w:t>海南省考试局</w:t>
      </w:r>
      <w:r>
        <w:rPr>
          <w:rFonts w:hint="eastAsia" w:ascii="宋体" w:hAnsi="宋体" w:cs="宋体"/>
          <w:color w:val="000000"/>
          <w:kern w:val="0"/>
          <w:sz w:val="24"/>
          <w:lang w:bidi="ar"/>
        </w:rPr>
        <w:t>的信息安全保障体系建设，增强密码安全管理意识，促进安全管理水平的提高。</w:t>
      </w:r>
    </w:p>
    <w:p>
      <w:pPr>
        <w:pStyle w:val="2"/>
        <w:spacing w:line="360" w:lineRule="auto"/>
        <w:rPr>
          <w:rFonts w:hint="eastAsia" w:ascii="宋体" w:hAnsi="宋体" w:eastAsia="宋体" w:cs="宋体"/>
          <w:color w:val="000000"/>
          <w:sz w:val="28"/>
          <w:szCs w:val="28"/>
        </w:rPr>
      </w:pPr>
      <w:bookmarkStart w:id="12" w:name="_Toc3420"/>
      <w:bookmarkStart w:id="13" w:name="_Toc18038"/>
      <w:bookmarkStart w:id="14" w:name="_Toc1878"/>
      <w:bookmarkStart w:id="15" w:name="_Toc27566"/>
      <w:bookmarkStart w:id="16" w:name="_Toc6149"/>
      <w:r>
        <w:rPr>
          <w:rFonts w:hint="eastAsia" w:ascii="宋体" w:hAnsi="宋体" w:eastAsia="宋体" w:cs="宋体"/>
          <w:color w:val="000000"/>
          <w:sz w:val="28"/>
          <w:szCs w:val="28"/>
        </w:rPr>
        <w:t>三、项目内容</w:t>
      </w:r>
      <w:bookmarkEnd w:id="12"/>
      <w:bookmarkEnd w:id="13"/>
      <w:bookmarkEnd w:id="14"/>
      <w:bookmarkEnd w:id="15"/>
      <w:bookmarkEnd w:id="16"/>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依据《信息系统密码应用基本要求》从物理和环境、网络和通信、设备和计算、应用和数据、安全管理等方面对信息系统开展密码应用和安全性评估工作，分析信息系統与基本要求之间的差距，出具《海南省考试局2022年商用密码应用安全性评估项目信息系统密码应用与安全性评估报告》、《海南省考试局2022年商用密码应用安全性评估项目信息系统密码应用与安全性评估测评方案》、《海南省考试局2022年商用密码应用安全性评估项目信息系统密码应用与安全性评估整改建议》，提出具有针对性的整改意见，并根据信息系统及安全防护措施的现状，提供其他安全服务，确保信息系统的安全运行。</w:t>
      </w:r>
    </w:p>
    <w:p>
      <w:pPr>
        <w:pStyle w:val="2"/>
        <w:spacing w:line="360" w:lineRule="auto"/>
        <w:rPr>
          <w:rFonts w:hint="eastAsia" w:ascii="宋体" w:hAnsi="宋体" w:eastAsia="宋体" w:cs="宋体"/>
          <w:color w:val="000000"/>
          <w:sz w:val="28"/>
          <w:szCs w:val="28"/>
        </w:rPr>
      </w:pPr>
      <w:bookmarkStart w:id="17" w:name="_Toc13163"/>
      <w:bookmarkStart w:id="18" w:name="_Toc27910"/>
      <w:bookmarkStart w:id="19" w:name="_Toc13819"/>
      <w:bookmarkStart w:id="20" w:name="_Toc491437813"/>
      <w:bookmarkStart w:id="21" w:name="_Toc17316"/>
      <w:bookmarkStart w:id="22" w:name="_Toc10303"/>
      <w:r>
        <w:rPr>
          <w:rFonts w:hint="eastAsia" w:ascii="宋体" w:hAnsi="宋体" w:eastAsia="宋体" w:cs="宋体"/>
          <w:color w:val="000000"/>
          <w:sz w:val="28"/>
          <w:szCs w:val="28"/>
        </w:rPr>
        <w:t>四、项目工期</w:t>
      </w:r>
      <w:bookmarkEnd w:id="17"/>
      <w:bookmarkEnd w:id="18"/>
      <w:bookmarkEnd w:id="19"/>
      <w:bookmarkEnd w:id="20"/>
      <w:bookmarkEnd w:id="21"/>
      <w:bookmarkEnd w:id="22"/>
    </w:p>
    <w:p>
      <w:pPr>
        <w:widowControl/>
        <w:snapToGrid w:val="0"/>
        <w:spacing w:line="360" w:lineRule="auto"/>
        <w:ind w:firstLine="560" w:firstLineChars="200"/>
        <w:rPr>
          <w:rFonts w:ascii="宋体" w:hAnsi="宋体" w:cs="宋体"/>
          <w:color w:val="000000"/>
          <w:kern w:val="28"/>
          <w:sz w:val="24"/>
        </w:rPr>
      </w:pPr>
      <w:r>
        <w:rPr>
          <w:rFonts w:hint="eastAsia" w:ascii="宋体" w:hAnsi="宋体" w:cs="宋体"/>
          <w:color w:val="000000"/>
          <w:sz w:val="28"/>
          <w:szCs w:val="28"/>
        </w:rPr>
        <w:t>合同签订后60天内完成</w:t>
      </w:r>
      <w:bookmarkStart w:id="44" w:name="_GoBack"/>
      <w:bookmarkEnd w:id="44"/>
      <w:r>
        <w:rPr>
          <w:rFonts w:hint="eastAsia" w:ascii="宋体" w:hAnsi="宋体" w:cs="宋体"/>
          <w:color w:val="000000"/>
          <w:kern w:val="28"/>
          <w:sz w:val="24"/>
          <w:lang w:bidi="ar"/>
        </w:rPr>
        <w:t>。</w:t>
      </w:r>
    </w:p>
    <w:p>
      <w:pPr>
        <w:pStyle w:val="2"/>
        <w:spacing w:line="360" w:lineRule="auto"/>
        <w:rPr>
          <w:rFonts w:hint="eastAsia" w:ascii="宋体" w:hAnsi="宋体" w:eastAsia="宋体" w:cs="宋体"/>
          <w:color w:val="000000"/>
          <w:sz w:val="28"/>
          <w:szCs w:val="28"/>
        </w:rPr>
      </w:pPr>
      <w:bookmarkStart w:id="23" w:name="_Toc491437814"/>
      <w:bookmarkStart w:id="24" w:name="_Toc14248"/>
      <w:bookmarkStart w:id="25" w:name="_Toc18239"/>
      <w:bookmarkStart w:id="26" w:name="_Toc19485"/>
      <w:bookmarkStart w:id="27" w:name="_Toc16420"/>
      <w:bookmarkStart w:id="28" w:name="_Toc23585"/>
      <w:r>
        <w:rPr>
          <w:rFonts w:hint="eastAsia" w:ascii="宋体" w:hAnsi="宋体" w:eastAsia="宋体" w:cs="宋体"/>
          <w:color w:val="000000"/>
          <w:sz w:val="28"/>
          <w:szCs w:val="28"/>
        </w:rPr>
        <w:t>五、项目</w:t>
      </w:r>
      <w:bookmarkEnd w:id="23"/>
      <w:r>
        <w:rPr>
          <w:rFonts w:hint="eastAsia" w:ascii="宋体" w:hAnsi="宋体" w:eastAsia="宋体" w:cs="宋体"/>
          <w:color w:val="000000"/>
          <w:sz w:val="28"/>
          <w:szCs w:val="28"/>
        </w:rPr>
        <w:t>需求</w:t>
      </w:r>
      <w:bookmarkEnd w:id="24"/>
      <w:bookmarkEnd w:id="25"/>
      <w:bookmarkEnd w:id="26"/>
      <w:bookmarkEnd w:id="27"/>
      <w:bookmarkEnd w:id="28"/>
    </w:p>
    <w:p>
      <w:pPr>
        <w:pStyle w:val="10"/>
        <w:rPr>
          <w:rFonts w:ascii="宋体" w:hAnsi="宋体" w:cs="宋体"/>
          <w:b/>
          <w:bCs/>
        </w:rPr>
      </w:pPr>
      <w:r>
        <w:rPr>
          <w:rFonts w:hint="eastAsia" w:ascii="宋体" w:hAnsi="宋体" w:cs="宋体"/>
          <w:b/>
          <w:bCs/>
        </w:rPr>
        <w:t>1.需求内容</w:t>
      </w:r>
    </w:p>
    <w:p>
      <w:pPr>
        <w:widowControl/>
        <w:spacing w:line="360" w:lineRule="auto"/>
        <w:ind w:firstLine="480" w:firstLineChars="200"/>
        <w:jc w:val="left"/>
        <w:rPr>
          <w:rFonts w:ascii="宋体" w:hAnsi="宋体" w:cs="宋体"/>
          <w:color w:val="000000"/>
          <w:kern w:val="28"/>
          <w:sz w:val="24"/>
        </w:rPr>
      </w:pPr>
      <w:r>
        <w:rPr>
          <w:rFonts w:hint="eastAsia" w:ascii="宋体" w:hAnsi="宋体" w:cs="宋体"/>
          <w:color w:val="000000"/>
          <w:kern w:val="28"/>
          <w:sz w:val="24"/>
          <w:lang w:bidi="ar"/>
        </w:rPr>
        <w:t>（1）对海南省考试局2022年商用密码应用安全性评估</w:t>
      </w:r>
      <w:r>
        <w:rPr>
          <w:rFonts w:hint="eastAsia" w:ascii="宋体" w:hAnsi="宋体" w:cs="宋体"/>
          <w:color w:val="000000"/>
          <w:kern w:val="0"/>
          <w:sz w:val="24"/>
          <w:lang w:bidi="ar"/>
        </w:rPr>
        <w:t>项目</w:t>
      </w:r>
      <w:r>
        <w:rPr>
          <w:rFonts w:hint="eastAsia" w:ascii="宋体" w:hAnsi="宋体" w:cs="宋体"/>
          <w:color w:val="000000"/>
          <w:kern w:val="28"/>
          <w:sz w:val="24"/>
          <w:lang w:bidi="ar"/>
        </w:rPr>
        <w:t>信息系统进行摸底、分析和梳理，提出详细的测评方案。</w:t>
      </w:r>
    </w:p>
    <w:p>
      <w:pPr>
        <w:widowControl/>
        <w:spacing w:line="360" w:lineRule="auto"/>
        <w:ind w:firstLine="480" w:firstLineChars="200"/>
        <w:jc w:val="left"/>
        <w:rPr>
          <w:rFonts w:ascii="宋体" w:hAnsi="宋体" w:cs="宋体"/>
          <w:color w:val="000000"/>
          <w:kern w:val="28"/>
          <w:sz w:val="24"/>
          <w:lang w:bidi="ar"/>
        </w:rPr>
      </w:pPr>
      <w:r>
        <w:rPr>
          <w:rFonts w:hint="eastAsia" w:ascii="宋体" w:hAnsi="宋体" w:cs="宋体"/>
          <w:color w:val="000000"/>
          <w:kern w:val="28"/>
          <w:sz w:val="24"/>
          <w:lang w:bidi="ar"/>
        </w:rPr>
        <w:t>（2）针对海南省考试局2022年商用密码应用安全性评估项目信息系统进行密码应用与安全性评估，内容包括：物理和环境、网络和通信、设备和计算、应用和数据、安全管理等。</w:t>
      </w:r>
    </w:p>
    <w:p>
      <w:pPr>
        <w:widowControl/>
        <w:spacing w:line="360" w:lineRule="auto"/>
        <w:ind w:firstLine="480" w:firstLineChars="200"/>
        <w:jc w:val="left"/>
        <w:rPr>
          <w:rFonts w:ascii="宋体" w:hAnsi="宋体" w:cs="宋体"/>
          <w:color w:val="000000"/>
          <w:kern w:val="28"/>
          <w:sz w:val="24"/>
          <w:lang w:bidi="ar"/>
        </w:rPr>
      </w:pPr>
      <w:r>
        <w:rPr>
          <w:rFonts w:hint="eastAsia" w:ascii="宋体" w:hAnsi="宋体" w:cs="宋体"/>
          <w:color w:val="000000"/>
          <w:kern w:val="28"/>
          <w:sz w:val="24"/>
          <w:lang w:bidi="ar"/>
        </w:rPr>
        <w:t>（3）完成密码应用与安全性评估工作后，针对评估发现的问题，向海南省考试局2022年商用密码应用安全性评估项目提交改进建议；并根据整改建议，协助海南省考试局对信息系统进行密码应用安全性完成整改，解决存在的问题。最后，根据系统追中实际情况，出具测评报告。</w:t>
      </w:r>
    </w:p>
    <w:p>
      <w:pPr>
        <w:widowControl/>
        <w:spacing w:line="360" w:lineRule="auto"/>
        <w:ind w:firstLine="480" w:firstLineChars="200"/>
        <w:jc w:val="left"/>
        <w:rPr>
          <w:rFonts w:ascii="宋体" w:hAnsi="宋体" w:cs="宋体"/>
          <w:color w:val="000000"/>
          <w:kern w:val="28"/>
          <w:sz w:val="24"/>
          <w:lang w:bidi="ar"/>
        </w:rPr>
      </w:pPr>
      <w:r>
        <w:rPr>
          <w:rFonts w:hint="eastAsia" w:ascii="宋体" w:hAnsi="宋体" w:cs="宋体"/>
          <w:color w:val="000000"/>
          <w:kern w:val="28"/>
          <w:sz w:val="24"/>
          <w:lang w:bidi="ar"/>
        </w:rPr>
        <w:t>（4）服务保障工作：评估报告提交后</w:t>
      </w:r>
      <w:r>
        <w:rPr>
          <w:rFonts w:ascii="宋体" w:hAnsi="宋体" w:cs="宋体"/>
          <w:color w:val="000000"/>
          <w:kern w:val="28"/>
          <w:sz w:val="24"/>
          <w:lang w:bidi="ar"/>
        </w:rPr>
        <w:t>1年内，围绕评估发现的问题和针对性改进建议，测评服务机构应向</w:t>
      </w:r>
      <w:r>
        <w:rPr>
          <w:rFonts w:hint="eastAsia" w:ascii="宋体" w:hAnsi="宋体" w:cs="宋体"/>
          <w:color w:val="000000"/>
          <w:kern w:val="28"/>
          <w:sz w:val="24"/>
          <w:lang w:bidi="ar"/>
        </w:rPr>
        <w:t>海南省考试局</w:t>
      </w:r>
      <w:r>
        <w:rPr>
          <w:rFonts w:ascii="宋体" w:hAnsi="宋体" w:cs="宋体"/>
          <w:color w:val="000000"/>
          <w:kern w:val="28"/>
          <w:sz w:val="24"/>
          <w:lang w:bidi="ar"/>
        </w:rPr>
        <w:t>免费提供咨询服务。</w:t>
      </w:r>
    </w:p>
    <w:p>
      <w:pPr>
        <w:pStyle w:val="10"/>
        <w:rPr>
          <w:rFonts w:ascii="宋体" w:hAnsi="宋体" w:cs="宋体"/>
          <w:b/>
          <w:bCs/>
        </w:rPr>
      </w:pPr>
      <w:bookmarkStart w:id="29" w:name="_Hlk109460806"/>
      <w:r>
        <w:rPr>
          <w:rFonts w:hint="eastAsia" w:ascii="宋体" w:hAnsi="宋体" w:cs="宋体"/>
          <w:b/>
          <w:bCs/>
        </w:rPr>
        <w:t>2.服务清单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853"/>
        <w:gridCol w:w="1556"/>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687"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autoSpaceDE w:val="0"/>
              <w:autoSpaceDN w:val="0"/>
              <w:adjustRightInd w:val="0"/>
              <w:snapToGrid w:val="0"/>
              <w:spacing w:line="300" w:lineRule="auto"/>
              <w:jc w:val="center"/>
              <w:rPr>
                <w:rFonts w:ascii="宋体" w:hAnsi="宋体" w:cs="宋体"/>
                <w:b/>
                <w:color w:val="000000"/>
                <w:szCs w:val="21"/>
              </w:rPr>
            </w:pPr>
            <w:r>
              <w:rPr>
                <w:rFonts w:hint="eastAsia" w:hAnsi="宋体" w:cs="宋体"/>
                <w:b/>
                <w:color w:val="000000"/>
                <w:kern w:val="0"/>
                <w:szCs w:val="21"/>
                <w:lang w:bidi="ar"/>
              </w:rPr>
              <w:t>序号</w:t>
            </w:r>
          </w:p>
        </w:tc>
        <w:tc>
          <w:tcPr>
            <w:tcW w:w="1853"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autoSpaceDE w:val="0"/>
              <w:autoSpaceDN w:val="0"/>
              <w:adjustRightInd w:val="0"/>
              <w:snapToGrid w:val="0"/>
              <w:spacing w:line="300" w:lineRule="auto"/>
              <w:jc w:val="center"/>
              <w:rPr>
                <w:rFonts w:ascii="宋体" w:hAnsi="宋体" w:cs="宋体"/>
                <w:b/>
                <w:color w:val="000000"/>
                <w:szCs w:val="21"/>
              </w:rPr>
            </w:pPr>
            <w:r>
              <w:rPr>
                <w:rFonts w:hint="eastAsia" w:hAnsi="宋体" w:cs="宋体"/>
                <w:b/>
                <w:color w:val="000000"/>
                <w:kern w:val="0"/>
                <w:szCs w:val="21"/>
                <w:lang w:bidi="ar"/>
              </w:rPr>
              <w:t>评估对象</w:t>
            </w:r>
          </w:p>
        </w:tc>
        <w:tc>
          <w:tcPr>
            <w:tcW w:w="1556"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autoSpaceDE w:val="0"/>
              <w:autoSpaceDN w:val="0"/>
              <w:adjustRightInd w:val="0"/>
              <w:snapToGrid w:val="0"/>
              <w:spacing w:line="300" w:lineRule="auto"/>
              <w:jc w:val="center"/>
              <w:rPr>
                <w:rFonts w:ascii="宋体" w:hAnsi="宋体" w:cs="宋体"/>
                <w:b/>
                <w:color w:val="000000"/>
                <w:szCs w:val="21"/>
              </w:rPr>
            </w:pPr>
            <w:r>
              <w:rPr>
                <w:rFonts w:hint="eastAsia" w:hAnsi="宋体" w:cs="宋体"/>
                <w:b/>
                <w:color w:val="000000"/>
                <w:kern w:val="0"/>
                <w:szCs w:val="21"/>
                <w:lang w:bidi="ar"/>
              </w:rPr>
              <w:t>系统等级</w:t>
            </w:r>
          </w:p>
        </w:tc>
        <w:tc>
          <w:tcPr>
            <w:tcW w:w="4432" w:type="dxa"/>
            <w:tcBorders>
              <w:top w:val="single" w:color="auto" w:sz="4" w:space="0"/>
              <w:left w:val="single" w:color="auto" w:sz="4" w:space="0"/>
              <w:bottom w:val="single" w:color="auto" w:sz="4" w:space="0"/>
              <w:right w:val="single" w:color="auto" w:sz="4" w:space="0"/>
            </w:tcBorders>
            <w:shd w:val="pct10" w:color="auto" w:fill="auto"/>
            <w:vAlign w:val="center"/>
          </w:tcPr>
          <w:p>
            <w:pPr>
              <w:widowControl/>
              <w:autoSpaceDE w:val="0"/>
              <w:autoSpaceDN w:val="0"/>
              <w:adjustRightInd w:val="0"/>
              <w:snapToGrid w:val="0"/>
              <w:spacing w:line="300" w:lineRule="auto"/>
              <w:jc w:val="center"/>
              <w:rPr>
                <w:rFonts w:ascii="宋体" w:hAnsi="宋体" w:cs="宋体"/>
                <w:b/>
                <w:color w:val="000000"/>
                <w:szCs w:val="21"/>
              </w:rPr>
            </w:pPr>
            <w:r>
              <w:rPr>
                <w:rFonts w:hint="eastAsia" w:hAnsi="宋体" w:cs="宋体"/>
                <w:b/>
                <w:color w:val="000000"/>
                <w:kern w:val="0"/>
                <w:szCs w:val="21"/>
                <w:lang w:bidi="ar"/>
              </w:rPr>
              <w:t>系统描述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widowControl/>
              <w:tabs>
                <w:tab w:val="left" w:pos="180"/>
              </w:tabs>
              <w:autoSpaceDN w:val="0"/>
              <w:adjustRightInd w:val="0"/>
              <w:snapToGrid w:val="0"/>
              <w:spacing w:line="300" w:lineRule="auto"/>
              <w:jc w:val="center"/>
              <w:rPr>
                <w:rFonts w:ascii="宋体" w:hAnsi="宋体" w:cs="Arial"/>
                <w:color w:val="000000"/>
                <w:szCs w:val="21"/>
              </w:rPr>
            </w:pPr>
            <w:r>
              <w:rPr>
                <w:rFonts w:hint="eastAsia" w:ascii="宋体" w:hAnsi="宋体" w:cs="Arial"/>
                <w:color w:val="000000"/>
                <w:kern w:val="0"/>
                <w:szCs w:val="21"/>
                <w:lang w:bidi="ar"/>
              </w:rPr>
              <w:t>1</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Ansi="宋体"/>
                <w:color w:val="000000"/>
                <w:szCs w:val="21"/>
              </w:rPr>
            </w:pPr>
            <w:r>
              <w:rPr>
                <w:rFonts w:hint="eastAsia" w:hAnsi="宋体"/>
                <w:color w:val="000000"/>
                <w:szCs w:val="21"/>
              </w:rPr>
              <w:t>海南省招生考试信息管理系统</w:t>
            </w:r>
          </w:p>
        </w:tc>
        <w:tc>
          <w:tcPr>
            <w:tcW w:w="155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ascii="宋体" w:hAnsi="宋体" w:cs="宋体"/>
                <w:color w:val="000000"/>
                <w:szCs w:val="21"/>
              </w:rPr>
            </w:pPr>
            <w:r>
              <w:rPr>
                <w:rFonts w:hint="eastAsia" w:ascii="宋体" w:hAnsi="宋体" w:cs="宋体"/>
                <w:color w:val="000000"/>
                <w:szCs w:val="21"/>
              </w:rPr>
              <w:t>第三级</w:t>
            </w:r>
          </w:p>
        </w:tc>
        <w:tc>
          <w:tcPr>
            <w:tcW w:w="443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ascii="宋体" w:hAnsi="宋体" w:cs="宋体"/>
                <w:color w:val="000000"/>
                <w:szCs w:val="21"/>
              </w:rPr>
            </w:pPr>
            <w:r>
              <w:rPr>
                <w:rFonts w:hint="eastAsia" w:ascii="宋体" w:hAnsi="宋体" w:cs="宋体"/>
                <w:color w:val="000000"/>
              </w:rPr>
              <w:t>主要包括海南省高考报名系统、海南省志愿填报系统、海南省高考志愿填报辅助系统、海南省成人高考报名管理、海南省自学考试报名系统、海南省考试局门户网站和海南省考试局OA办公系统等20多个子系统。</w:t>
            </w:r>
          </w:p>
        </w:tc>
      </w:tr>
    </w:tbl>
    <w:p>
      <w:pPr>
        <w:pStyle w:val="10"/>
        <w:rPr>
          <w:rFonts w:hint="eastAsia" w:ascii="宋体" w:hAnsi="宋体" w:cs="宋体"/>
          <w:b/>
          <w:bCs/>
        </w:rPr>
      </w:pPr>
    </w:p>
    <w:p>
      <w:pPr>
        <w:pStyle w:val="10"/>
        <w:rPr>
          <w:rFonts w:ascii="宋体" w:hAnsi="宋体" w:cs="宋体"/>
          <w:b/>
          <w:bCs/>
        </w:rPr>
      </w:pPr>
      <w:r>
        <w:rPr>
          <w:rFonts w:hint="eastAsia" w:ascii="宋体" w:hAnsi="宋体" w:cs="宋体"/>
          <w:b/>
          <w:bCs/>
        </w:rPr>
        <w:t>3.项目成果交付</w:t>
      </w:r>
    </w:p>
    <w:bookmarkEnd w:id="29"/>
    <w:p>
      <w:pPr>
        <w:widowControl/>
        <w:spacing w:line="360" w:lineRule="auto"/>
        <w:ind w:firstLine="480" w:firstLineChars="200"/>
        <w:jc w:val="left"/>
        <w:rPr>
          <w:rFonts w:ascii="宋体" w:hAnsi="宋体" w:cs="宋体"/>
          <w:color w:val="000000"/>
          <w:kern w:val="28"/>
          <w:sz w:val="24"/>
          <w:lang w:bidi="ar"/>
        </w:rPr>
      </w:pPr>
      <w:r>
        <w:rPr>
          <w:rFonts w:hint="eastAsia" w:ascii="宋体" w:hAnsi="宋体" w:cs="宋体"/>
          <w:color w:val="000000"/>
          <w:kern w:val="28"/>
          <w:sz w:val="24"/>
          <w:lang w:bidi="ar"/>
        </w:rPr>
        <w:t>1.《海南省考试局2022年商用密码应用安全性评估</w:t>
      </w:r>
      <w:r>
        <w:rPr>
          <w:rFonts w:hint="eastAsia" w:ascii="宋体" w:hAnsi="宋体" w:cs="宋体"/>
          <w:color w:val="000000"/>
          <w:kern w:val="0"/>
          <w:sz w:val="24"/>
          <w:lang w:bidi="ar"/>
        </w:rPr>
        <w:t>项目信息系统</w:t>
      </w:r>
      <w:r>
        <w:rPr>
          <w:rFonts w:hint="eastAsia" w:ascii="宋体" w:hAnsi="宋体" w:cs="宋体"/>
          <w:color w:val="000000"/>
          <w:kern w:val="28"/>
          <w:sz w:val="24"/>
          <w:lang w:bidi="ar"/>
        </w:rPr>
        <w:t>密码应用与安全性评估测评方案》</w:t>
      </w:r>
    </w:p>
    <w:p>
      <w:pPr>
        <w:widowControl/>
        <w:spacing w:line="360" w:lineRule="auto"/>
        <w:ind w:firstLine="480" w:firstLineChars="200"/>
        <w:jc w:val="left"/>
        <w:rPr>
          <w:rFonts w:ascii="宋体" w:hAnsi="宋体" w:cs="宋体"/>
          <w:color w:val="000000"/>
          <w:kern w:val="28"/>
          <w:sz w:val="24"/>
        </w:rPr>
      </w:pPr>
      <w:r>
        <w:rPr>
          <w:rFonts w:hint="eastAsia" w:ascii="宋体" w:hAnsi="宋体" w:cs="宋体"/>
          <w:color w:val="000000"/>
          <w:kern w:val="28"/>
          <w:sz w:val="24"/>
          <w:lang w:bidi="ar"/>
        </w:rPr>
        <w:t>2.《海南省考试局2022年商用密码应用安全性评估</w:t>
      </w:r>
      <w:r>
        <w:rPr>
          <w:rFonts w:hint="eastAsia" w:ascii="宋体" w:hAnsi="宋体" w:cs="宋体"/>
          <w:color w:val="000000"/>
          <w:kern w:val="0"/>
          <w:sz w:val="24"/>
          <w:lang w:bidi="ar"/>
        </w:rPr>
        <w:t>项目</w:t>
      </w:r>
      <w:r>
        <w:rPr>
          <w:rFonts w:hint="eastAsia" w:ascii="宋体" w:hAnsi="宋体" w:cs="宋体"/>
          <w:color w:val="000000"/>
          <w:kern w:val="28"/>
          <w:sz w:val="24"/>
          <w:lang w:bidi="ar"/>
        </w:rPr>
        <w:t>信息系统密码应用与安全性评估报告》</w:t>
      </w:r>
    </w:p>
    <w:p>
      <w:pPr>
        <w:widowControl/>
        <w:spacing w:line="360" w:lineRule="auto"/>
        <w:ind w:firstLine="480" w:firstLineChars="200"/>
        <w:jc w:val="left"/>
        <w:rPr>
          <w:rFonts w:ascii="宋体" w:hAnsi="宋体" w:cs="宋体"/>
          <w:color w:val="000000"/>
          <w:kern w:val="28"/>
          <w:sz w:val="24"/>
        </w:rPr>
      </w:pPr>
      <w:r>
        <w:rPr>
          <w:rFonts w:hint="eastAsia" w:ascii="宋体" w:hAnsi="宋体" w:cs="宋体"/>
          <w:color w:val="000000"/>
          <w:kern w:val="28"/>
          <w:sz w:val="24"/>
          <w:lang w:bidi="ar"/>
        </w:rPr>
        <w:t>3.《海南省考试局2022年商用密码应用安全性评估</w:t>
      </w:r>
      <w:r>
        <w:rPr>
          <w:rFonts w:hint="eastAsia" w:ascii="宋体" w:hAnsi="宋体" w:cs="宋体"/>
          <w:color w:val="000000"/>
          <w:kern w:val="0"/>
          <w:sz w:val="24"/>
          <w:lang w:bidi="ar"/>
        </w:rPr>
        <w:t>项目</w:t>
      </w:r>
      <w:r>
        <w:rPr>
          <w:rFonts w:hint="eastAsia" w:ascii="宋体" w:hAnsi="宋体" w:cs="宋体"/>
          <w:color w:val="000000"/>
          <w:kern w:val="28"/>
          <w:sz w:val="24"/>
          <w:lang w:bidi="ar"/>
        </w:rPr>
        <w:t>信息系统密码应用与安全性评估整改建议》</w:t>
      </w:r>
    </w:p>
    <w:p>
      <w:pPr>
        <w:pStyle w:val="10"/>
        <w:rPr>
          <w:rFonts w:ascii="宋体" w:hAnsi="宋体" w:cs="宋体"/>
          <w:b/>
          <w:bCs/>
        </w:rPr>
      </w:pPr>
      <w:bookmarkStart w:id="30" w:name="_Hlk109460923"/>
      <w:r>
        <w:rPr>
          <w:rFonts w:hint="eastAsia" w:ascii="宋体" w:hAnsi="宋体" w:cs="宋体"/>
          <w:b/>
          <w:bCs/>
        </w:rPr>
        <w:t>4.测评方案</w:t>
      </w:r>
    </w:p>
    <w:p>
      <w:pPr>
        <w:widowControl/>
        <w:snapToGrid w:val="0"/>
        <w:spacing w:line="360" w:lineRule="auto"/>
        <w:ind w:firstLine="480" w:firstLineChars="200"/>
        <w:jc w:val="left"/>
      </w:pPr>
      <w:bookmarkStart w:id="31" w:name="_Toc361917617"/>
      <w:bookmarkStart w:id="32" w:name="_Toc491437815"/>
      <w:r>
        <w:rPr>
          <w:rFonts w:hint="eastAsia" w:ascii="宋体" w:hAnsi="宋体" w:cs="宋体"/>
          <w:color w:val="000000"/>
          <w:kern w:val="28"/>
          <w:sz w:val="24"/>
          <w:lang w:bidi="ar"/>
        </w:rPr>
        <w:t>按照商用密码应用安全性分类分级评估的要求，依据《信息安全技术信息系统密码应用基本要求》（GB/T 39786-2021）要求及信息系统等级保护定级情况，进行评估，包括但不限于以下内容：</w:t>
      </w:r>
      <w:bookmarkStart w:id="33" w:name="_Hlk109460897"/>
    </w:p>
    <w:bookmarkEnd w:id="30"/>
    <w:p>
      <w:pPr>
        <w:widowControl/>
        <w:jc w:val="left"/>
        <w:rPr>
          <w:rFonts w:ascii="宋体" w:hAnsi="宋体" w:cs="宋体"/>
          <w:color w:val="000000"/>
          <w:kern w:val="0"/>
          <w:sz w:val="24"/>
          <w:lang w:bidi="ar"/>
        </w:rPr>
      </w:pPr>
    </w:p>
    <w:tbl>
      <w:tblPr>
        <w:tblStyle w:val="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9"/>
        <w:gridCol w:w="553"/>
        <w:gridCol w:w="836"/>
        <w:gridCol w:w="1956"/>
        <w:gridCol w:w="44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Align w:val="center"/>
          </w:tcPr>
          <w:p>
            <w:pPr>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3345" w:type="dxa"/>
            <w:gridSpan w:val="3"/>
            <w:vAlign w:val="center"/>
          </w:tcPr>
          <w:p>
            <w:pPr>
              <w:spacing w:line="360" w:lineRule="auto"/>
              <w:jc w:val="center"/>
              <w:rPr>
                <w:rFonts w:ascii="宋体" w:hAnsi="宋体" w:cs="宋体"/>
                <w:b/>
                <w:color w:val="000000"/>
                <w:sz w:val="24"/>
              </w:rPr>
            </w:pPr>
            <w:r>
              <w:rPr>
                <w:rFonts w:hint="eastAsia" w:ascii="宋体" w:hAnsi="宋体" w:cs="宋体"/>
                <w:b/>
                <w:color w:val="000000"/>
                <w:sz w:val="24"/>
              </w:rPr>
              <w:t>测评单元</w:t>
            </w:r>
          </w:p>
        </w:tc>
        <w:tc>
          <w:tcPr>
            <w:tcW w:w="4442" w:type="dxa"/>
            <w:vAlign w:val="center"/>
          </w:tcPr>
          <w:p>
            <w:pPr>
              <w:spacing w:line="360" w:lineRule="auto"/>
              <w:jc w:val="center"/>
              <w:rPr>
                <w:rFonts w:ascii="宋体" w:hAnsi="宋体" w:cs="宋体"/>
                <w:color w:val="000000"/>
                <w:sz w:val="24"/>
              </w:rPr>
            </w:pPr>
            <w:r>
              <w:rPr>
                <w:rFonts w:hint="eastAsia" w:ascii="宋体" w:hAnsi="宋体" w:cs="宋体"/>
                <w:b/>
                <w:color w:val="000000"/>
                <w:sz w:val="24"/>
              </w:rPr>
              <w:t>测评指标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553"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技术</w:t>
            </w:r>
          </w:p>
          <w:p>
            <w:pPr>
              <w:spacing w:line="360" w:lineRule="auto"/>
              <w:jc w:val="center"/>
              <w:rPr>
                <w:rFonts w:ascii="宋体" w:hAnsi="宋体" w:cs="宋体"/>
                <w:color w:val="000000"/>
                <w:sz w:val="24"/>
              </w:rPr>
            </w:pPr>
            <w:r>
              <w:rPr>
                <w:rFonts w:hint="eastAsia" w:ascii="宋体" w:hAnsi="宋体" w:cs="宋体"/>
                <w:color w:val="000000"/>
                <w:sz w:val="24"/>
              </w:rPr>
              <w:t>要求</w:t>
            </w: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物理和环境安全</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1）身份鉴别</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应采用密码技术进行物理访问身份鉴别，保证重要区域进入人员身份的真实性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2）电子门禁记录数据存储完整性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应采用密码技术保证电子门禁系统进出记录数据的存储完整性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3）视频监控记录数据存储完整性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应采用密码技术保证视频监控音像记录数据的存储完整性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网络和通信安全</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1）身份鉴别</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应采用密码技术对通信实体进行身份鉴别，保证通信实体身份的真实性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2）通信数据完整性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宜采用密码技术保证通信过程中数据的完整性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3）通信过程中重要数据的机密性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应采用密码技术保证通信过程中重要数据的机密性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pStyle w:val="10"/>
              <w:spacing w:line="360" w:lineRule="auto"/>
              <w:rPr>
                <w:rFonts w:ascii="宋体" w:hAnsi="宋体" w:cs="宋体"/>
              </w:rPr>
            </w:pPr>
            <w:r>
              <w:rPr>
                <w:rFonts w:hint="eastAsia" w:ascii="宋体" w:hAnsi="宋体" w:cs="宋体"/>
              </w:rPr>
              <w:t xml:space="preserve">4）网络边界访问控制信息的完整性 </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宜采用密码技术保证网络边界访问控制信息的完整性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5）安全接入认证</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可采用密码技术对从外部连接到内部网络的设备进行接入认证，确保接入的设备身份真实性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设备和计算安全</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1）身份鉴别</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应采用密码技术对登录设备的用户进行身份鉴别，保证用户身份的真实性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2）远程管理通道安全</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远程管理设备时，应采用密码技术建立安全的信息传输通道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3）系统资源访问控制信息完整性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宜采用密码技术保证系统资源访问控制信息的完整性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4）重要信息资源安全标记完整性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宜采用密码技术保证设备中的重要信息资源安全标记的完整性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5）日志记录完整性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宜采用密码技术保证日志记录的完整性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6）重要可执行程序完整性、重要可执行程序来源真实性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宜采用密码技术对重要可执行程序进行完整性保护，并对其来源进行真实性验证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应用和数据安全</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1）身份鉴别</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应采用密码技术对登录用户进行身份鉴别，保证应用系统用户身份的真实性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2）访问控制信息完整性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宜采用密码技术保证信息系统应用的访问控制信息的完整性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3）重要信息资源安全标记完整性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宜采用密码技术保证信息系统应用的重要信息资源安全标记的完整性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4）重要数据传输机密性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应采用密码技术保证信息系统应用的重要数据在传输过程中的机密性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5）重要数据存储机密性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应采用密码技术保证信息系统应用的重要数据在存储过程中的机密性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6）重要数据传输完整性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宜采用密码技术保证信息系统应用的重要数据在传输过程中的完整性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7）重要数据存储完整性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宜采用密码技术保证信息系统应用的重要数据在存储过程中的完整性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8）不可否认性</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在可能涉及法律责任认定的应用中，宜采用密码技术提供数据原发证据和数据接收证据，实现数据原发行为的不可否认性和数据接收行为的不可否认性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553"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管理</w:t>
            </w:r>
          </w:p>
          <w:p>
            <w:pPr>
              <w:spacing w:line="360" w:lineRule="auto"/>
              <w:jc w:val="center"/>
              <w:rPr>
                <w:rFonts w:ascii="宋体" w:hAnsi="宋体" w:cs="宋体"/>
                <w:color w:val="000000"/>
                <w:sz w:val="24"/>
              </w:rPr>
            </w:pPr>
            <w:r>
              <w:rPr>
                <w:rFonts w:hint="eastAsia" w:ascii="宋体" w:hAnsi="宋体" w:cs="宋体"/>
                <w:color w:val="000000"/>
                <w:sz w:val="24"/>
              </w:rPr>
              <w:t>要求</w:t>
            </w: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管理</w:t>
            </w:r>
          </w:p>
          <w:p>
            <w:pPr>
              <w:spacing w:line="360" w:lineRule="auto"/>
              <w:jc w:val="center"/>
              <w:rPr>
                <w:rFonts w:ascii="宋体" w:hAnsi="宋体" w:cs="宋体"/>
                <w:color w:val="000000"/>
                <w:sz w:val="24"/>
              </w:rPr>
            </w:pPr>
            <w:r>
              <w:rPr>
                <w:rFonts w:hint="eastAsia" w:ascii="宋体" w:hAnsi="宋体" w:cs="宋体"/>
                <w:color w:val="000000"/>
                <w:sz w:val="24"/>
              </w:rPr>
              <w:t>制度</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1）具备密码应用安全管理制度</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应具备密码应用安全管理制度，包括密码人员管理、密钥管理、建设运行、应急处置、密码软硬件及介质管理等制度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2）密钥管理规则</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应根据密码应用方案建立相应密钥管理规则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3）建立操作规程</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应对管理人员或操作人员执行的日常管理操作建立操作规程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4）定期修订安全管理制度</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应定期对密码应用安全管理制度和操作规程的合理性和适用性进行论证和审定，对存在不足或需要改进之处进行修订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5）明确管理制度发布流程</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应明确相关密码应用安全管理制度和操作规程的发布流程并进行版本控制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6）制度执行过程记录留存</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应具有密码应用操作规程的相关执行记录并妥善保存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人员</w:t>
            </w:r>
          </w:p>
          <w:p>
            <w:pPr>
              <w:spacing w:line="360" w:lineRule="auto"/>
              <w:jc w:val="center"/>
              <w:rPr>
                <w:rFonts w:ascii="宋体" w:hAnsi="宋体" w:cs="宋体"/>
                <w:color w:val="000000"/>
                <w:sz w:val="24"/>
              </w:rPr>
            </w:pPr>
            <w:r>
              <w:rPr>
                <w:rFonts w:hint="eastAsia" w:ascii="宋体" w:hAnsi="宋体" w:cs="宋体"/>
                <w:color w:val="000000"/>
                <w:sz w:val="24"/>
              </w:rPr>
              <w:t>管理</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1）了解并遵守密码相关法律法规</w:t>
            </w:r>
          </w:p>
          <w:p>
            <w:pPr>
              <w:spacing w:line="360" w:lineRule="auto"/>
              <w:jc w:val="left"/>
              <w:rPr>
                <w:rFonts w:ascii="宋体" w:hAnsi="宋体" w:cs="宋体"/>
                <w:color w:val="000000"/>
                <w:sz w:val="24"/>
              </w:rPr>
            </w:pPr>
            <w:r>
              <w:rPr>
                <w:rFonts w:hint="eastAsia" w:ascii="宋体" w:hAnsi="宋体" w:cs="宋体"/>
                <w:color w:val="000000"/>
                <w:sz w:val="24"/>
              </w:rPr>
              <w:t xml:space="preserve">和密码管理制度 </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相关人员应了解并遵守密码相关法律法规、密码应用安全管理制度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lang w:bidi="ar"/>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2）建立密码应用岗位责任制度</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应建立密码应用岗位责任制度，明确各岗位在安全系统中的职责和权限：</w:t>
            </w:r>
          </w:p>
          <w:p>
            <w:pPr>
              <w:spacing w:line="360" w:lineRule="auto"/>
              <w:jc w:val="left"/>
              <w:rPr>
                <w:rFonts w:ascii="宋体" w:hAnsi="宋体" w:cs="宋体"/>
                <w:color w:val="000000"/>
                <w:sz w:val="24"/>
              </w:rPr>
            </w:pPr>
            <w:r>
              <w:rPr>
                <w:rFonts w:hint="eastAsia" w:ascii="宋体" w:hAnsi="宋体" w:cs="宋体"/>
                <w:color w:val="000000"/>
                <w:sz w:val="24"/>
              </w:rPr>
              <w:t>2.1）根据密码应用的实际情况，设置密钥管理员、密码安全审计员、密码操作员等关键安全岗位</w:t>
            </w:r>
          </w:p>
          <w:p>
            <w:pPr>
              <w:spacing w:line="360" w:lineRule="auto"/>
              <w:jc w:val="left"/>
              <w:rPr>
                <w:rFonts w:ascii="宋体" w:hAnsi="宋体" w:cs="宋体"/>
                <w:color w:val="000000"/>
                <w:sz w:val="24"/>
              </w:rPr>
            </w:pPr>
            <w:r>
              <w:rPr>
                <w:rFonts w:hint="eastAsia" w:ascii="宋体" w:hAnsi="宋体" w:cs="宋体"/>
                <w:color w:val="000000"/>
                <w:sz w:val="24"/>
              </w:rPr>
              <w:t>2.2）对关键岗位建立多人共管机制</w:t>
            </w:r>
          </w:p>
          <w:p>
            <w:pPr>
              <w:spacing w:line="360" w:lineRule="auto"/>
              <w:jc w:val="left"/>
              <w:rPr>
                <w:rFonts w:ascii="宋体" w:hAnsi="宋体" w:cs="宋体"/>
                <w:color w:val="000000"/>
                <w:sz w:val="24"/>
              </w:rPr>
            </w:pPr>
            <w:r>
              <w:rPr>
                <w:rFonts w:hint="eastAsia" w:ascii="宋体" w:hAnsi="宋体" w:cs="宋体"/>
                <w:color w:val="000000"/>
                <w:sz w:val="24"/>
              </w:rPr>
              <w:t>2.3） 密钥管理、密码安全审计、密码操作人员职责互相制约互相监督，其中密钥管理员岗位不可与密码审计员、密码操作员等关键安全岗位兼任</w:t>
            </w:r>
          </w:p>
          <w:p>
            <w:pPr>
              <w:spacing w:line="360" w:lineRule="auto"/>
              <w:jc w:val="left"/>
              <w:rPr>
                <w:rFonts w:ascii="宋体" w:hAnsi="宋体" w:cs="宋体"/>
                <w:color w:val="000000"/>
                <w:sz w:val="24"/>
              </w:rPr>
            </w:pPr>
            <w:r>
              <w:rPr>
                <w:rFonts w:hint="eastAsia" w:ascii="宋体" w:hAnsi="宋体" w:cs="宋体"/>
                <w:color w:val="000000"/>
                <w:sz w:val="24"/>
              </w:rPr>
              <w:t>2.4） 相关设备与系统的管理和使用账号不得多人共用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lang w:bidi="ar"/>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3）建立上岗人员培训制度</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应建立上岗人员培训制度，对于涉及密码的操作和管理的人员进行专门培训，确保其具备岗位所需专业技能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lang w:bidi="ar"/>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4）定期进行安全岗位人员考核</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应定期对密码应用安全岗位人员进行考核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lang w:bidi="ar"/>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5）建立关键岗位人员保密制度和调离制度</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应建立关键人员保密制度和调离制度，签订保密合同，承担保密义务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建设</w:t>
            </w:r>
          </w:p>
          <w:p>
            <w:pPr>
              <w:spacing w:line="360" w:lineRule="auto"/>
              <w:jc w:val="center"/>
              <w:rPr>
                <w:rFonts w:ascii="宋体" w:hAnsi="宋体" w:cs="宋体"/>
                <w:color w:val="000000"/>
                <w:sz w:val="24"/>
              </w:rPr>
            </w:pPr>
            <w:r>
              <w:rPr>
                <w:rFonts w:hint="eastAsia" w:ascii="宋体" w:hAnsi="宋体" w:cs="宋体"/>
                <w:color w:val="000000"/>
                <w:sz w:val="24"/>
              </w:rPr>
              <w:t>运行</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1）制定密码应用方案</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应依据密码相关标准和密码应用需求，制定密码应用方案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2）制定密钥安全管理策略</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应根据密码应用方案，确定系统涉及的密钥种类、体系及其生命周期环节，各环节安全管理要求参照《信息安全技术 信息系统密码应用基本要求》附录A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3）制定实施方案</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应按照应用方案实施建设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4）投入运行前进行密码应用安全性评估</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投入运行前应进行密码应用安全性评估，评估通过后系统方可正式运行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5）定期开展密码应用安全性评估及攻防对抗演习</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在运行过程中，应严格执行既定的密码应用安全管理制度，应定期开展密码应用安全性评估及攻防对抗演习，并根据评估结果进行整改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restart"/>
            <w:vAlign w:val="center"/>
          </w:tcPr>
          <w:p>
            <w:pPr>
              <w:spacing w:line="360" w:lineRule="auto"/>
              <w:jc w:val="center"/>
              <w:rPr>
                <w:rFonts w:ascii="宋体" w:hAnsi="宋体" w:cs="宋体"/>
                <w:color w:val="000000"/>
                <w:sz w:val="24"/>
              </w:rPr>
            </w:pPr>
          </w:p>
          <w:p>
            <w:pPr>
              <w:spacing w:line="360" w:lineRule="auto"/>
              <w:jc w:val="center"/>
              <w:rPr>
                <w:rFonts w:ascii="宋体" w:hAnsi="宋体" w:cs="宋体"/>
                <w:color w:val="000000"/>
                <w:sz w:val="24"/>
              </w:rPr>
            </w:pPr>
          </w:p>
          <w:p>
            <w:pPr>
              <w:spacing w:line="360" w:lineRule="auto"/>
              <w:jc w:val="center"/>
              <w:rPr>
                <w:rFonts w:ascii="宋体" w:hAnsi="宋体" w:cs="宋体"/>
                <w:color w:val="000000"/>
                <w:sz w:val="24"/>
              </w:rPr>
            </w:pPr>
          </w:p>
          <w:p>
            <w:pPr>
              <w:spacing w:line="360" w:lineRule="auto"/>
              <w:jc w:val="center"/>
              <w:rPr>
                <w:rFonts w:ascii="宋体" w:hAnsi="宋体" w:cs="宋体"/>
                <w:color w:val="000000"/>
                <w:sz w:val="24"/>
              </w:rPr>
            </w:pPr>
            <w:r>
              <w:rPr>
                <w:rFonts w:hint="eastAsia" w:ascii="宋体" w:hAnsi="宋体" w:cs="宋体"/>
                <w:color w:val="000000"/>
                <w:sz w:val="24"/>
              </w:rPr>
              <w:t>应急</w:t>
            </w:r>
          </w:p>
          <w:p>
            <w:pPr>
              <w:spacing w:line="360" w:lineRule="auto"/>
              <w:jc w:val="center"/>
              <w:rPr>
                <w:rFonts w:ascii="宋体" w:hAnsi="宋体" w:cs="宋体"/>
                <w:color w:val="000000"/>
                <w:sz w:val="24"/>
              </w:rPr>
            </w:pPr>
            <w:r>
              <w:rPr>
                <w:rFonts w:hint="eastAsia" w:ascii="宋体" w:hAnsi="宋体" w:cs="宋体"/>
                <w:color w:val="000000"/>
                <w:sz w:val="24"/>
              </w:rPr>
              <w:t>处置</w:t>
            </w: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1）应急策略</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应制定密码应用应急策略，做好应急资源准备，当密码应用安全事件发生时，应立即启动应急处置措施，结合实际情况及时处置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2）事件处置</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事件发生后，应及时向信息系统主管部门进行报告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739" w:type="dxa"/>
            <w:vMerge w:val="continue"/>
            <w:vAlign w:val="center"/>
          </w:tcPr>
          <w:p>
            <w:pPr>
              <w:spacing w:line="360" w:lineRule="auto"/>
              <w:jc w:val="center"/>
              <w:rPr>
                <w:rFonts w:ascii="宋体" w:hAnsi="宋体" w:cs="宋体"/>
                <w:color w:val="000000"/>
                <w:sz w:val="24"/>
              </w:rPr>
            </w:pPr>
          </w:p>
        </w:tc>
        <w:tc>
          <w:tcPr>
            <w:tcW w:w="553" w:type="dxa"/>
            <w:vMerge w:val="continue"/>
            <w:vAlign w:val="center"/>
          </w:tcPr>
          <w:p>
            <w:pPr>
              <w:spacing w:line="360" w:lineRule="auto"/>
              <w:jc w:val="center"/>
              <w:rPr>
                <w:rFonts w:ascii="宋体" w:hAnsi="宋体" w:cs="宋体"/>
                <w:color w:val="000000"/>
                <w:sz w:val="24"/>
              </w:rPr>
            </w:pPr>
          </w:p>
        </w:tc>
        <w:tc>
          <w:tcPr>
            <w:tcW w:w="836" w:type="dxa"/>
            <w:vMerge w:val="continue"/>
            <w:vAlign w:val="center"/>
          </w:tcPr>
          <w:p>
            <w:pPr>
              <w:spacing w:line="360" w:lineRule="auto"/>
              <w:jc w:val="center"/>
              <w:rPr>
                <w:rFonts w:ascii="宋体" w:hAnsi="宋体" w:cs="宋体"/>
                <w:color w:val="000000"/>
                <w:sz w:val="24"/>
              </w:rPr>
            </w:pPr>
          </w:p>
        </w:tc>
        <w:tc>
          <w:tcPr>
            <w:tcW w:w="1956" w:type="dxa"/>
            <w:vAlign w:val="center"/>
          </w:tcPr>
          <w:p>
            <w:pPr>
              <w:spacing w:line="360" w:lineRule="auto"/>
              <w:jc w:val="left"/>
              <w:rPr>
                <w:rFonts w:ascii="宋体" w:hAnsi="宋体" w:cs="宋体"/>
                <w:color w:val="000000"/>
                <w:sz w:val="24"/>
              </w:rPr>
            </w:pPr>
            <w:r>
              <w:rPr>
                <w:rFonts w:hint="eastAsia" w:ascii="宋体" w:hAnsi="宋体" w:cs="宋体"/>
                <w:color w:val="000000"/>
                <w:sz w:val="24"/>
              </w:rPr>
              <w:t>3）向有关主管部门上报处置情况</w:t>
            </w:r>
          </w:p>
        </w:tc>
        <w:tc>
          <w:tcPr>
            <w:tcW w:w="4442" w:type="dxa"/>
            <w:vAlign w:val="center"/>
          </w:tcPr>
          <w:p>
            <w:pPr>
              <w:spacing w:line="360" w:lineRule="auto"/>
              <w:jc w:val="left"/>
              <w:rPr>
                <w:rFonts w:ascii="宋体" w:hAnsi="宋体" w:cs="宋体"/>
                <w:color w:val="000000"/>
                <w:sz w:val="24"/>
              </w:rPr>
            </w:pPr>
            <w:r>
              <w:rPr>
                <w:rFonts w:hint="eastAsia" w:ascii="宋体" w:hAnsi="宋体" w:cs="宋体"/>
                <w:color w:val="000000"/>
                <w:sz w:val="24"/>
              </w:rPr>
              <w:t>事件处置完成后，应及时向信息系统主管部门及归属的密码管理部门报告事件发生情况及处置情况</w:t>
            </w:r>
          </w:p>
        </w:tc>
      </w:tr>
      <w:bookmarkEnd w:id="31"/>
      <w:bookmarkEnd w:id="32"/>
      <w:bookmarkEnd w:id="33"/>
    </w:tbl>
    <w:p>
      <w:pPr>
        <w:pStyle w:val="2"/>
        <w:spacing w:line="360" w:lineRule="auto"/>
        <w:rPr>
          <w:rFonts w:hint="eastAsia" w:ascii="宋体" w:hAnsi="宋体" w:eastAsia="宋体" w:cs="宋体"/>
          <w:color w:val="000000"/>
          <w:sz w:val="28"/>
          <w:szCs w:val="28"/>
        </w:rPr>
      </w:pPr>
      <w:bookmarkStart w:id="34" w:name="_Toc19228"/>
      <w:bookmarkStart w:id="35" w:name="_Toc9113"/>
      <w:bookmarkStart w:id="36" w:name="_Toc23850"/>
      <w:bookmarkStart w:id="37" w:name="_Toc22848"/>
      <w:bookmarkStart w:id="38" w:name="_Toc28625"/>
      <w:bookmarkStart w:id="39" w:name="_Toc14737"/>
      <w:bookmarkStart w:id="40" w:name="_Toc28592"/>
      <w:bookmarkStart w:id="41" w:name="_Toc16972"/>
      <w:bookmarkStart w:id="42" w:name="_Toc10269"/>
      <w:r>
        <w:rPr>
          <w:rFonts w:hint="eastAsia" w:ascii="宋体" w:hAnsi="宋体" w:eastAsia="宋体" w:cs="宋体"/>
          <w:color w:val="000000"/>
          <w:sz w:val="28"/>
          <w:szCs w:val="28"/>
        </w:rPr>
        <w:t>六、服务要求</w:t>
      </w:r>
      <w:bookmarkEnd w:id="34"/>
      <w:bookmarkEnd w:id="35"/>
      <w:bookmarkEnd w:id="36"/>
      <w:bookmarkEnd w:id="37"/>
      <w:bookmarkEnd w:id="38"/>
    </w:p>
    <w:p>
      <w:pPr>
        <w:tabs>
          <w:tab w:val="left" w:pos="840"/>
          <w:tab w:val="left" w:pos="1080"/>
        </w:tabs>
        <w:adjustRightInd w:val="0"/>
        <w:snapToGrid w:val="0"/>
        <w:spacing w:line="360" w:lineRule="auto"/>
        <w:ind w:firstLine="480" w:firstLineChars="200"/>
        <w:rPr>
          <w:rFonts w:ascii="宋体" w:hAnsi="宋体" w:cs="宋体"/>
          <w:color w:val="000000"/>
          <w:kern w:val="28"/>
          <w:sz w:val="24"/>
          <w:lang w:bidi="ar"/>
        </w:rPr>
      </w:pPr>
      <w:r>
        <w:rPr>
          <w:rFonts w:hint="eastAsia" w:ascii="宋体" w:hAnsi="宋体" w:cs="宋体"/>
          <w:color w:val="000000"/>
          <w:kern w:val="28"/>
          <w:sz w:val="24"/>
          <w:lang w:bidi="ar"/>
        </w:rPr>
        <w:t>评估项目实施过程中，供应商应遵循国家标准、行业标准。</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int="eastAsia" w:hAnsi="宋体" w:cs="Tahoma"/>
          <w:color w:val="000000"/>
          <w:kern w:val="28"/>
          <w:sz w:val="24"/>
          <w:szCs w:val="20"/>
          <w:lang w:bidi="ar"/>
        </w:rPr>
        <w:t>在项目实施中投标方必须做到:</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int="eastAsia" w:hAnsi="宋体" w:cs="Tahoma"/>
          <w:color w:val="000000"/>
          <w:kern w:val="28"/>
          <w:sz w:val="24"/>
          <w:szCs w:val="20"/>
          <w:lang w:bidi="ar"/>
        </w:rPr>
        <w:t>1.提供项目实施组织架构;</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int="eastAsia" w:hAnsi="宋体" w:cs="Tahoma"/>
          <w:color w:val="000000"/>
          <w:kern w:val="28"/>
          <w:sz w:val="24"/>
          <w:szCs w:val="20"/>
          <w:lang w:bidi="ar"/>
        </w:rPr>
        <w:t>2.提供详细的项目实施方案和计划进度说明书;</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int="eastAsia" w:hAnsi="宋体" w:cs="Tahoma"/>
          <w:color w:val="000000"/>
          <w:kern w:val="28"/>
          <w:sz w:val="24"/>
          <w:szCs w:val="20"/>
          <w:lang w:bidi="ar"/>
        </w:rPr>
        <w:t>3.严格按照双方确定的计划进度保质保量完成工作;</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int="eastAsia" w:hAnsi="宋体" w:cs="Tahoma"/>
          <w:color w:val="000000"/>
          <w:kern w:val="28"/>
          <w:sz w:val="24"/>
          <w:szCs w:val="20"/>
          <w:lang w:bidi="ar"/>
        </w:rPr>
        <w:t>4.项目实施中要引入风险管理、质量管理;</w:t>
      </w:r>
    </w:p>
    <w:p>
      <w:pPr>
        <w:tabs>
          <w:tab w:val="left" w:pos="840"/>
          <w:tab w:val="left" w:pos="1080"/>
        </w:tabs>
        <w:adjustRightInd w:val="0"/>
        <w:snapToGrid w:val="0"/>
        <w:spacing w:line="360" w:lineRule="auto"/>
        <w:ind w:firstLine="480" w:firstLineChars="200"/>
        <w:rPr>
          <w:rFonts w:ascii="宋体" w:hAnsi="宋体" w:cs="宋体"/>
          <w:color w:val="000000"/>
          <w:kern w:val="28"/>
          <w:sz w:val="24"/>
          <w:lang w:bidi="ar"/>
        </w:rPr>
      </w:pPr>
      <w:r>
        <w:rPr>
          <w:rFonts w:hint="eastAsia" w:hAnsi="宋体" w:cs="Tahoma"/>
          <w:color w:val="000000"/>
          <w:kern w:val="28"/>
          <w:sz w:val="24"/>
          <w:szCs w:val="20"/>
          <w:lang w:bidi="ar"/>
        </w:rPr>
        <w:t>5.签署《保密协议》</w:t>
      </w:r>
      <w:r>
        <w:rPr>
          <w:rFonts w:hint="eastAsia" w:ascii="宋体" w:hAnsi="宋体" w:cs="宋体"/>
          <w:color w:val="000000"/>
          <w:kern w:val="28"/>
          <w:sz w:val="24"/>
          <w:lang w:bidi="ar"/>
        </w:rPr>
        <w:t>。</w:t>
      </w:r>
    </w:p>
    <w:p>
      <w:pPr>
        <w:tabs>
          <w:tab w:val="left" w:pos="840"/>
          <w:tab w:val="left" w:pos="1080"/>
        </w:tabs>
        <w:adjustRightInd w:val="0"/>
        <w:snapToGrid w:val="0"/>
        <w:spacing w:line="360" w:lineRule="auto"/>
        <w:ind w:firstLine="480" w:firstLineChars="200"/>
        <w:rPr>
          <w:rFonts w:hAnsi="宋体" w:cs="Tahoma"/>
          <w:color w:val="000000"/>
          <w:kern w:val="28"/>
          <w:sz w:val="24"/>
          <w:szCs w:val="20"/>
          <w:lang w:bidi="ar"/>
        </w:rPr>
      </w:pPr>
      <w:r>
        <w:rPr>
          <w:rFonts w:hAnsi="宋体" w:cs="Tahoma"/>
          <w:color w:val="000000"/>
          <w:kern w:val="28"/>
          <w:sz w:val="24"/>
          <w:szCs w:val="20"/>
          <w:lang w:bidi="ar"/>
        </w:rPr>
        <w:t>6.</w:t>
      </w:r>
      <w:r>
        <w:rPr>
          <w:rFonts w:hint="eastAsia" w:hAnsi="宋体" w:cs="Tahoma"/>
          <w:color w:val="000000"/>
          <w:kern w:val="28"/>
          <w:sz w:val="24"/>
          <w:szCs w:val="20"/>
          <w:lang w:bidi="ar"/>
        </w:rPr>
        <w:t>规范实施过程中的文档管理</w:t>
      </w:r>
    </w:p>
    <w:p>
      <w:pPr>
        <w:pStyle w:val="2"/>
        <w:spacing w:line="360" w:lineRule="auto"/>
        <w:rPr>
          <w:rFonts w:hint="eastAsia" w:ascii="宋体" w:hAnsi="宋体" w:eastAsia="宋体" w:cs="宋体"/>
          <w:color w:val="000000"/>
          <w:sz w:val="28"/>
          <w:szCs w:val="28"/>
        </w:rPr>
      </w:pPr>
      <w:bookmarkStart w:id="43" w:name="_Toc16365"/>
      <w:r>
        <w:rPr>
          <w:rFonts w:hint="eastAsia" w:ascii="宋体" w:hAnsi="宋体" w:eastAsia="宋体" w:cs="宋体"/>
          <w:color w:val="000000"/>
          <w:sz w:val="28"/>
          <w:szCs w:val="28"/>
        </w:rPr>
        <w:t>七、服务保障</w:t>
      </w:r>
      <w:bookmarkEnd w:id="39"/>
      <w:bookmarkEnd w:id="40"/>
      <w:bookmarkEnd w:id="41"/>
      <w:bookmarkEnd w:id="42"/>
      <w:bookmarkEnd w:id="43"/>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1.</w:t>
      </w:r>
      <w:r>
        <w:rPr>
          <w:rFonts w:ascii="宋体" w:hAnsi="宋体" w:cs="宋体"/>
          <w:color w:val="000000"/>
          <w:kern w:val="0"/>
          <w:sz w:val="24"/>
          <w:lang w:bidi="ar"/>
        </w:rPr>
        <w:t xml:space="preserve">中标服务商必须确保能建立一支具有一定服务能力的管理团队，并合理调配各岗位人员，保障服务工作相关岗位人员需要。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w:t>
      </w:r>
      <w:r>
        <w:rPr>
          <w:rFonts w:ascii="宋体" w:hAnsi="宋体" w:cs="宋体"/>
          <w:color w:val="000000"/>
          <w:kern w:val="0"/>
          <w:sz w:val="24"/>
          <w:lang w:bidi="ar"/>
        </w:rPr>
        <w:t>中标服务商从</w:t>
      </w:r>
      <w:r>
        <w:rPr>
          <w:rFonts w:hint="eastAsia" w:ascii="宋体" w:hAnsi="宋体" w:cs="宋体"/>
          <w:color w:val="000000"/>
          <w:kern w:val="28"/>
          <w:sz w:val="24"/>
          <w:lang w:bidi="ar"/>
        </w:rPr>
        <w:t>海南省考试局2022年商用密码应用安全性评估</w:t>
      </w:r>
      <w:r>
        <w:rPr>
          <w:rFonts w:hint="eastAsia" w:ascii="宋体" w:hAnsi="宋体" w:cs="宋体"/>
          <w:color w:val="000000"/>
          <w:kern w:val="0"/>
          <w:sz w:val="24"/>
          <w:szCs w:val="20"/>
          <w:lang w:bidi="ar"/>
        </w:rPr>
        <w:t>项目</w:t>
      </w:r>
      <w:r>
        <w:rPr>
          <w:rFonts w:hint="eastAsia" w:ascii="宋体" w:hAnsi="宋体" w:cs="宋体"/>
          <w:color w:val="000000"/>
          <w:kern w:val="0"/>
          <w:sz w:val="24"/>
          <w:lang w:bidi="ar"/>
        </w:rPr>
        <w:t>进场</w:t>
      </w:r>
      <w:r>
        <w:rPr>
          <w:rFonts w:ascii="宋体" w:hAnsi="宋体" w:cs="宋体"/>
          <w:color w:val="000000"/>
          <w:kern w:val="0"/>
          <w:sz w:val="24"/>
          <w:lang w:bidi="ar"/>
        </w:rPr>
        <w:t xml:space="preserve">之日起 5 个工作日内要完成评估系统确定和测评方案编制。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3.</w:t>
      </w:r>
      <w:r>
        <w:rPr>
          <w:rFonts w:ascii="宋体" w:hAnsi="宋体" w:cs="宋体"/>
          <w:color w:val="000000"/>
          <w:kern w:val="0"/>
          <w:sz w:val="24"/>
          <w:lang w:bidi="ar"/>
        </w:rPr>
        <w:t>中标服务商需在</w:t>
      </w:r>
      <w:r>
        <w:rPr>
          <w:rFonts w:hint="eastAsia" w:ascii="宋体" w:hAnsi="宋体" w:cs="宋体"/>
          <w:color w:val="000000"/>
          <w:kern w:val="28"/>
          <w:sz w:val="24"/>
          <w:lang w:bidi="ar"/>
        </w:rPr>
        <w:t>海南省考试局2022年商用密码应用安全性评估</w:t>
      </w:r>
      <w:r>
        <w:rPr>
          <w:rFonts w:hint="eastAsia" w:ascii="宋体" w:hAnsi="宋体" w:cs="宋体"/>
          <w:color w:val="000000"/>
          <w:kern w:val="0"/>
          <w:sz w:val="24"/>
          <w:szCs w:val="20"/>
          <w:lang w:bidi="ar"/>
        </w:rPr>
        <w:t>项目</w:t>
      </w:r>
      <w:r>
        <w:rPr>
          <w:rFonts w:hint="eastAsia" w:ascii="宋体" w:hAnsi="宋体" w:cs="Tahoma"/>
          <w:color w:val="000000"/>
          <w:kern w:val="28"/>
          <w:sz w:val="24"/>
          <w:lang w:bidi="ar"/>
        </w:rPr>
        <w:t>验收</w:t>
      </w:r>
      <w:r>
        <w:rPr>
          <w:rFonts w:ascii="宋体" w:hAnsi="宋体" w:cs="宋体"/>
          <w:color w:val="000000"/>
          <w:kern w:val="0"/>
          <w:sz w:val="24"/>
          <w:lang w:bidi="ar"/>
        </w:rPr>
        <w:t xml:space="preserve">之前完成并提交密码应用安全性评估报告。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4.</w:t>
      </w:r>
      <w:r>
        <w:rPr>
          <w:rFonts w:ascii="宋体" w:hAnsi="宋体" w:cs="宋体"/>
          <w:color w:val="000000"/>
          <w:kern w:val="0"/>
          <w:sz w:val="24"/>
          <w:lang w:bidi="ar"/>
        </w:rPr>
        <w:t xml:space="preserve"> 服务期间</w:t>
      </w:r>
      <w:r>
        <w:rPr>
          <w:rFonts w:hint="eastAsia" w:ascii="宋体" w:hAnsi="宋体" w:cs="宋体"/>
          <w:color w:val="000000"/>
          <w:kern w:val="0"/>
          <w:sz w:val="24"/>
          <w:lang w:bidi="ar"/>
        </w:rPr>
        <w:t>应</w:t>
      </w:r>
      <w:r>
        <w:rPr>
          <w:rFonts w:ascii="宋体" w:hAnsi="宋体" w:cs="宋体"/>
          <w:color w:val="000000"/>
          <w:kern w:val="0"/>
          <w:sz w:val="24"/>
          <w:lang w:bidi="ar"/>
        </w:rPr>
        <w:t>提供 7×24 服务响应，需要进行现场服务的，对</w:t>
      </w:r>
      <w:r>
        <w:rPr>
          <w:rFonts w:hint="eastAsia" w:ascii="宋体" w:hAnsi="宋体" w:cs="宋体"/>
          <w:color w:val="000000"/>
          <w:kern w:val="0"/>
          <w:sz w:val="24"/>
          <w:lang w:bidi="ar"/>
        </w:rPr>
        <w:t>市区内</w:t>
      </w:r>
      <w:r>
        <w:rPr>
          <w:rFonts w:ascii="宋体" w:hAnsi="宋体" w:cs="宋体"/>
          <w:color w:val="000000"/>
          <w:kern w:val="0"/>
          <w:sz w:val="24"/>
          <w:lang w:bidi="ar"/>
        </w:rPr>
        <w:t xml:space="preserve">，技术人员能够在2小时之内到达现场处理。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5.</w:t>
      </w:r>
      <w:r>
        <w:rPr>
          <w:rFonts w:ascii="宋体" w:hAnsi="宋体" w:cs="宋体"/>
          <w:color w:val="000000"/>
          <w:kern w:val="0"/>
          <w:sz w:val="24"/>
          <w:lang w:bidi="ar"/>
        </w:rPr>
        <w:t>服务期间</w:t>
      </w:r>
      <w:r>
        <w:rPr>
          <w:rFonts w:hint="eastAsia" w:ascii="宋体" w:hAnsi="宋体" w:cs="宋体"/>
          <w:color w:val="000000"/>
          <w:kern w:val="0"/>
          <w:sz w:val="24"/>
          <w:lang w:bidi="ar"/>
        </w:rPr>
        <w:t>应</w:t>
      </w:r>
      <w:r>
        <w:rPr>
          <w:rFonts w:ascii="宋体" w:hAnsi="宋体" w:cs="宋体"/>
          <w:color w:val="000000"/>
          <w:kern w:val="0"/>
          <w:sz w:val="24"/>
          <w:lang w:bidi="ar"/>
        </w:rPr>
        <w:t xml:space="preserve">提供应急保障工作，针对应急、攻坚克难等事宜提供保障方案，包括高层支撑和响应时间等。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6.</w:t>
      </w:r>
      <w:r>
        <w:rPr>
          <w:rFonts w:ascii="宋体" w:hAnsi="宋体" w:cs="宋体"/>
          <w:color w:val="000000"/>
          <w:kern w:val="0"/>
          <w:sz w:val="24"/>
          <w:lang w:bidi="ar"/>
        </w:rPr>
        <w:t xml:space="preserve"> 严守工作秘密。中标服务商必须与</w:t>
      </w:r>
      <w:r>
        <w:rPr>
          <w:rFonts w:hint="eastAsia" w:ascii="宋体" w:hAnsi="宋体" w:cs="宋体"/>
          <w:color w:val="000000"/>
          <w:kern w:val="0"/>
          <w:sz w:val="24"/>
          <w:lang w:bidi="ar"/>
        </w:rPr>
        <w:t>海南省考试局</w:t>
      </w:r>
      <w:r>
        <w:rPr>
          <w:rFonts w:ascii="宋体" w:hAnsi="宋体" w:cs="宋体"/>
          <w:color w:val="000000"/>
          <w:kern w:val="0"/>
          <w:sz w:val="24"/>
          <w:lang w:bidi="ar"/>
        </w:rPr>
        <w:t xml:space="preserve">签署保密协议，工作人员须与单位签署《保密承诺书》，对知悉的事项及信息予以保密，所有资料、技术文档妥善保管，不得遗失、转借、复印，不得以任何形式向第三方透露；所有密码应用解决方案和采集汇总后的数据严禁通过互联网等公共信息网络、普通邮政进行传递，严禁在连接互联网计算机上存储、处理。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7.</w:t>
      </w:r>
      <w:r>
        <w:rPr>
          <w:rFonts w:ascii="宋体" w:hAnsi="宋体" w:cs="宋体"/>
          <w:color w:val="000000"/>
          <w:kern w:val="0"/>
          <w:sz w:val="24"/>
          <w:lang w:bidi="ar"/>
        </w:rPr>
        <w:t>严格遵循操作规程，承担服务工作质量责任。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Cambria Math">
    <w:altName w:val="DejaVu Math TeX Gyre"/>
    <w:panose1 w:val="02040503050406030204"/>
    <w:charset w:val="00"/>
    <w:family w:val="roman"/>
    <w:pitch w:val="default"/>
    <w:sig w:usb0="00000000" w:usb1="00000000" w:usb2="02000000"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Tahoma">
    <w:altName w:val="Droid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C6"/>
    <w:rsid w:val="001E2DF7"/>
    <w:rsid w:val="003550B9"/>
    <w:rsid w:val="00694670"/>
    <w:rsid w:val="00970D01"/>
    <w:rsid w:val="00B237C6"/>
    <w:rsid w:val="7AF78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3" w:lineRule="auto"/>
      <w:outlineLvl w:val="1"/>
    </w:pPr>
    <w:rPr>
      <w:rFonts w:ascii="Arial Unicode MS" w:hAnsi="Arial Unicode MS" w:eastAsia="Cambria Math"/>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Unicode MS" w:hAnsi="Arial Unicode MS" w:eastAsia="Cambria Math" w:cs="Times New Roman"/>
      <w:b/>
      <w:bCs/>
      <w:sz w:val="32"/>
      <w:szCs w:val="32"/>
    </w:rPr>
  </w:style>
  <w:style w:type="paragraph" w:customStyle="1" w:styleId="10">
    <w:name w:val="Default"/>
    <w:qFormat/>
    <w:uiPriority w:val="0"/>
    <w:pPr>
      <w:widowControl w:val="0"/>
      <w:autoSpaceDE w:val="0"/>
      <w:autoSpaceDN w:val="0"/>
      <w:adjustRightInd w:val="0"/>
      <w:spacing w:after="200" w:line="276" w:lineRule="auto"/>
    </w:pPr>
    <w:rPr>
      <w:rFonts w:ascii="Cambria" w:hAnsi="Cambria"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640</Words>
  <Characters>3649</Characters>
  <Lines>30</Lines>
  <Paragraphs>8</Paragraphs>
  <TotalTime>1</TotalTime>
  <ScaleCrop>false</ScaleCrop>
  <LinksUpToDate>false</LinksUpToDate>
  <CharactersWithSpaces>4281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2022-12-10T14:31:00Z</dcterms:created>
  <dc:creator>wu</dc:creator>
  <cp:lastModifiedBy>greatwall</cp:lastModifiedBy>
  <dcterms:modified xsi:type="dcterms:W3CDTF">2022-12-15T15:07:47Z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